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4A5" w:rsidRPr="00052D14" w:rsidRDefault="00945036" w:rsidP="00052D14">
      <w:pPr>
        <w:spacing w:after="120"/>
        <w:jc w:val="center"/>
      </w:pPr>
      <w:r w:rsidRPr="00945036">
        <w:rPr>
          <w:b/>
          <w:bCs/>
          <w:sz w:val="28"/>
          <w:szCs w:val="28"/>
        </w:rPr>
        <w:t>Title</w:t>
      </w:r>
      <w:r w:rsidR="00052D14">
        <w:rPr>
          <w:b/>
          <w:bCs/>
          <w:sz w:val="28"/>
          <w:szCs w:val="28"/>
        </w:rPr>
        <w:t xml:space="preserve"> </w:t>
      </w:r>
      <w:r w:rsidR="00052D14">
        <w:t>(O</w:t>
      </w:r>
      <w:r w:rsidR="00052D14">
        <w:t xml:space="preserve">ral or </w:t>
      </w:r>
      <w:r w:rsidR="00052D14">
        <w:t>P</w:t>
      </w:r>
      <w:r w:rsidR="00052D14">
        <w:t>oster contribution</w:t>
      </w:r>
      <w:r w:rsidR="00052D14">
        <w:t>)</w:t>
      </w:r>
    </w:p>
    <w:p w:rsidR="00C014A5" w:rsidRPr="00945036" w:rsidRDefault="00945036" w:rsidP="00052D14">
      <w:pPr>
        <w:pStyle w:val="Authors"/>
        <w:spacing w:after="120"/>
      </w:pPr>
      <w:r w:rsidRPr="00945036">
        <w:rPr>
          <w:u w:val="single"/>
        </w:rPr>
        <w:t>Author 1</w:t>
      </w:r>
      <w:r w:rsidR="001B4C36" w:rsidRPr="00945036">
        <w:rPr>
          <w:vertAlign w:val="superscript"/>
        </w:rPr>
        <w:t>1</w:t>
      </w:r>
      <w:r w:rsidR="001B4C36" w:rsidRPr="00945036">
        <w:t xml:space="preserve">, </w:t>
      </w:r>
      <w:r w:rsidRPr="00945036">
        <w:t>Aut</w:t>
      </w:r>
      <w:bookmarkStart w:id="0" w:name="_GoBack"/>
      <w:bookmarkEnd w:id="0"/>
      <w:r w:rsidRPr="00945036">
        <w:t>hor 2</w:t>
      </w:r>
      <w:r w:rsidR="001B4C36" w:rsidRPr="00945036">
        <w:rPr>
          <w:vertAlign w:val="superscript"/>
        </w:rPr>
        <w:t>1</w:t>
      </w:r>
      <w:r w:rsidR="001B4C36" w:rsidRPr="00945036">
        <w:t xml:space="preserve"> </w:t>
      </w:r>
      <w:r w:rsidR="002C178B" w:rsidRPr="00945036">
        <w:t xml:space="preserve">H. </w:t>
      </w:r>
      <w:r w:rsidRPr="00945036">
        <w:t xml:space="preserve">Author </w:t>
      </w:r>
      <w:proofErr w:type="gramStart"/>
      <w:r w:rsidRPr="00945036">
        <w:t>3</w:t>
      </w:r>
      <w:r w:rsidRPr="00945036">
        <w:rPr>
          <w:vertAlign w:val="superscript"/>
        </w:rPr>
        <w:t>2</w:t>
      </w:r>
      <w:r w:rsidR="002C178B" w:rsidRPr="00945036">
        <w:t xml:space="preserve">, </w:t>
      </w:r>
      <w:r w:rsidRPr="00945036">
        <w:t>…</w:t>
      </w:r>
      <w:proofErr w:type="gramEnd"/>
    </w:p>
    <w:p w:rsidR="00C014A5" w:rsidRPr="00945036" w:rsidRDefault="001B4C36">
      <w:pPr>
        <w:pStyle w:val="Authors"/>
        <w:rPr>
          <w:i/>
          <w:vertAlign w:val="superscript"/>
        </w:rPr>
      </w:pPr>
      <w:r w:rsidRPr="00945036">
        <w:rPr>
          <w:i/>
          <w:vertAlign w:val="superscript"/>
        </w:rPr>
        <w:t>1</w:t>
      </w:r>
      <w:r w:rsidRPr="00945036">
        <w:rPr>
          <w:i/>
        </w:rPr>
        <w:t xml:space="preserve"> </w:t>
      </w:r>
      <w:r w:rsidR="00945036" w:rsidRPr="00945036">
        <w:rPr>
          <w:i/>
        </w:rPr>
        <w:t>Affiliation</w:t>
      </w:r>
    </w:p>
    <w:p w:rsidR="00C014A5" w:rsidRPr="00945036" w:rsidRDefault="00C014A5">
      <w:pPr>
        <w:pStyle w:val="Authors"/>
      </w:pPr>
    </w:p>
    <w:p w:rsidR="00C014A5" w:rsidRPr="00945036" w:rsidRDefault="00C014A5"/>
    <w:p w:rsidR="00945036" w:rsidRDefault="00945036">
      <w:r>
        <w:t>Since its abrupt emergence in 2004</w:t>
      </w:r>
      <w:r>
        <w:t xml:space="preserve"> [1]</w:t>
      </w:r>
      <w:r>
        <w:t>, 2D materials have concentrated the research efforts of a large portion of the scientific community. Those novel materials combine tantalizing fundamental properties with the most promising applications. In 2D materials, essentially everything takes place on the surface and, consequently, SPM techniques have produced some of the most exciting works in these unique materials. This focused 2DSPM international conference will bring together a good number of the leading researchers on the field. The aim is to provide a very stimulating environment facilitating the easy flow of knowledge and ideas between participants.</w:t>
      </w:r>
    </w:p>
    <w:p w:rsidR="00945036" w:rsidRDefault="00945036"/>
    <w:p w:rsidR="00C014A5" w:rsidRPr="00052D14" w:rsidRDefault="001B4C36">
      <w:pPr>
        <w:rPr>
          <w:b/>
        </w:rPr>
      </w:pPr>
      <w:r w:rsidRPr="00052D14">
        <w:rPr>
          <w:b/>
        </w:rPr>
        <w:t>References:</w:t>
      </w:r>
    </w:p>
    <w:p w:rsidR="00C014A5" w:rsidRDefault="00865959" w:rsidP="00945036">
      <w:pPr>
        <w:ind w:left="426" w:hanging="426"/>
      </w:pPr>
      <w:r w:rsidRPr="00945036">
        <w:t>[1]</w:t>
      </w:r>
      <w:r w:rsidRPr="00945036">
        <w:tab/>
      </w:r>
      <w:r w:rsidR="00945036">
        <w:t>…</w:t>
      </w:r>
    </w:p>
    <w:p w:rsidR="00945036" w:rsidRPr="00945036" w:rsidRDefault="00945036" w:rsidP="00945036">
      <w:pPr>
        <w:ind w:left="426" w:hanging="426"/>
      </w:pPr>
    </w:p>
    <w:p w:rsidR="00C014A5" w:rsidRPr="00945036" w:rsidRDefault="000C6B43">
      <w:pPr>
        <w:jc w:val="center"/>
      </w:pPr>
      <w:r w:rsidRPr="00945036">
        <w:rPr>
          <w:noProof/>
          <w:lang w:eastAsia="es-ES"/>
        </w:rPr>
        <w:drawing>
          <wp:inline distT="0" distB="0" distL="0" distR="0">
            <wp:extent cx="5400040" cy="24476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400040" cy="2447682"/>
                    </a:xfrm>
                    <a:prstGeom prst="rect">
                      <a:avLst/>
                    </a:prstGeom>
                    <a:noFill/>
                    <a:ln w="9525">
                      <a:noFill/>
                      <a:miter lim="800000"/>
                      <a:headEnd/>
                      <a:tailEnd/>
                    </a:ln>
                  </pic:spPr>
                </pic:pic>
              </a:graphicData>
            </a:graphic>
          </wp:inline>
        </w:drawing>
      </w:r>
    </w:p>
    <w:p w:rsidR="00052D14" w:rsidRDefault="00052D14" w:rsidP="000C6B43"/>
    <w:p w:rsidR="001B4C36" w:rsidRPr="00945036" w:rsidRDefault="000C6B43" w:rsidP="000C6B43">
      <w:r w:rsidRPr="00052D14">
        <w:rPr>
          <w:b/>
        </w:rPr>
        <w:t xml:space="preserve">Fig 1. </w:t>
      </w:r>
      <w:r w:rsidRPr="00945036">
        <w:t xml:space="preserve">(a) Art illustration of the generation and STM analysis of individual vacancies in graphene </w:t>
      </w:r>
      <w:proofErr w:type="gramStart"/>
      <w:r w:rsidRPr="00945036">
        <w:t>layers.</w:t>
      </w:r>
      <w:proofErr w:type="gramEnd"/>
      <w:r w:rsidRPr="00945036">
        <w:t xml:space="preserve"> (b-c) 4K STM data showing atomically resolved images of C vacancies in graphene layers growth of graphite and </w:t>
      </w:r>
      <w:proofErr w:type="gramStart"/>
      <w:r w:rsidRPr="00945036">
        <w:t>Pt(</w:t>
      </w:r>
      <w:proofErr w:type="gramEnd"/>
      <w:r w:rsidRPr="00945036">
        <w:t>111) and its impact in the electronic density of states of the graphene layers.</w:t>
      </w:r>
    </w:p>
    <w:sectPr w:rsidR="001B4C36" w:rsidRPr="00945036" w:rsidSect="00C014A5">
      <w:pgSz w:w="11906" w:h="16838"/>
      <w:pgMar w:top="1134" w:right="1134" w:bottom="1134" w:left="1134" w:header="720" w:footer="720" w:gutter="0"/>
      <w:cols w:space="72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8C6"/>
    <w:rsid w:val="000038C6"/>
    <w:rsid w:val="00052D14"/>
    <w:rsid w:val="000C6B43"/>
    <w:rsid w:val="001B4C36"/>
    <w:rsid w:val="00201A2B"/>
    <w:rsid w:val="00272BF1"/>
    <w:rsid w:val="002C178B"/>
    <w:rsid w:val="00865959"/>
    <w:rsid w:val="00945036"/>
    <w:rsid w:val="00C014A5"/>
    <w:rsid w:val="00C55278"/>
    <w:rsid w:val="00CA3D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DE5583-BD15-4866-A96D-F5709A3C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both"/>
    </w:pPr>
    <w:rPr>
      <w:rFonts w:eastAsia="MS Mincho"/>
      <w:kern w:val="1"/>
      <w:sz w:val="22"/>
      <w:szCs w:val="22"/>
      <w:lang w:val="en-US" w:eastAsia="en-US"/>
    </w:rPr>
  </w:style>
  <w:style w:type="paragraph" w:styleId="Ttulo5">
    <w:name w:val="heading 5"/>
    <w:basedOn w:val="Normal"/>
    <w:next w:val="Textoindependiente"/>
    <w:qFormat/>
    <w:pPr>
      <w:keepNext/>
      <w:numPr>
        <w:ilvl w:val="4"/>
        <w:numId w:val="1"/>
      </w:numPr>
      <w:outlineLvl w:val="4"/>
    </w:pPr>
    <w:rPr>
      <w:rFonts w:ascii="Arial" w:hAnsi="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character" w:customStyle="1" w:styleId="berschrift5Zchn">
    <w:name w:val="Überschrift 5 Zchn"/>
    <w:rPr>
      <w:rFonts w:ascii="Calibri" w:eastAsia="Times New Roman" w:hAnsi="Calibri" w:cs="Times New Roman"/>
      <w:b/>
      <w:bCs/>
      <w:i/>
      <w:iCs/>
      <w:sz w:val="26"/>
      <w:szCs w:val="26"/>
      <w:lang w:val="en-US" w:eastAsia="en-US"/>
    </w:rPr>
  </w:style>
  <w:style w:type="character" w:customStyle="1" w:styleId="NurTextZchn">
    <w:name w:val="Nur Text Zchn"/>
    <w:rPr>
      <w:rFonts w:ascii="Courier New" w:hAnsi="Courier New" w:cs="Courier New"/>
      <w:lang w:val="en-US" w:eastAsia="en-US"/>
    </w:rPr>
  </w:style>
  <w:style w:type="character" w:styleId="Hipervnculo">
    <w:name w:val="Hyperlink"/>
    <w:rPr>
      <w:color w:val="0000FF"/>
      <w:u w:val="single"/>
    </w:rPr>
  </w:style>
  <w:style w:type="character" w:customStyle="1" w:styleId="Hipervnculovisitado1">
    <w:name w:val="Hipervínculo visitado1"/>
    <w:rPr>
      <w:color w:val="800080"/>
      <w:u w:val="single"/>
    </w:rPr>
  </w:style>
  <w:style w:type="character" w:customStyle="1" w:styleId="KopfzeileZchn">
    <w:name w:val="Kopfzeile Zchn"/>
    <w:rPr>
      <w:sz w:val="22"/>
      <w:szCs w:val="22"/>
      <w:lang w:val="en-US" w:eastAsia="en-US"/>
    </w:rPr>
  </w:style>
  <w:style w:type="character" w:customStyle="1" w:styleId="FuzeileZchn">
    <w:name w:val="Fußzeile Zchn"/>
    <w:rPr>
      <w:sz w:val="22"/>
      <w:szCs w:val="22"/>
      <w:lang w:val="en-US" w:eastAsia="en-US"/>
    </w:rPr>
  </w:style>
  <w:style w:type="character" w:customStyle="1" w:styleId="SprechblasentextZchn">
    <w:name w:val="Sprechblasentext Zchn"/>
    <w:rPr>
      <w:rFonts w:ascii="Tahoma" w:hAnsi="Tahoma" w:cs="Tahoma"/>
      <w:sz w:val="16"/>
      <w:szCs w:val="16"/>
      <w:lang w:val="en-US" w:eastAsia="en-US"/>
    </w:rPr>
  </w:style>
  <w:style w:type="character" w:customStyle="1" w:styleId="TitelZchn">
    <w:name w:val="Titel Zchn"/>
    <w:rPr>
      <w:b/>
      <w:sz w:val="24"/>
      <w:lang w:val="en-US" w:eastAsia="en-US"/>
    </w:rPr>
  </w:style>
  <w:style w:type="character" w:customStyle="1" w:styleId="AuthorsZchn">
    <w:name w:val="Authors Zchn"/>
    <w:rPr>
      <w:sz w:val="24"/>
      <w:lang w:val="en-US" w:eastAsia="en-US"/>
    </w:rPr>
  </w:style>
  <w:style w:type="character" w:customStyle="1" w:styleId="nfasissutil1">
    <w:name w:val="Énfasis sutil1"/>
    <w:rPr>
      <w:rFonts w:eastAsia="Batang"/>
      <w:sz w:val="18"/>
      <w:lang w:val="en-US"/>
    </w:rPr>
  </w:style>
  <w:style w:type="character" w:customStyle="1" w:styleId="KeywordsZchn">
    <w:name w:val="Keywords Zchn"/>
    <w:rPr>
      <w:i/>
      <w:sz w:val="24"/>
      <w:lang w:val="en-US" w:eastAsia="ja-JP"/>
    </w:rPr>
  </w:style>
  <w:style w:type="character" w:customStyle="1" w:styleId="ReferencesZchn">
    <w:name w:val="References Zchn"/>
    <w:rPr>
      <w:rFonts w:cs="Times New Roman"/>
      <w:sz w:val="22"/>
      <w:szCs w:val="22"/>
      <w:lang w:val="en-US" w:eastAsia="en-US"/>
    </w:rPr>
  </w:style>
  <w:style w:type="paragraph" w:customStyle="1" w:styleId="Heading">
    <w:name w:val="Heading"/>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extosinformato1">
    <w:name w:val="Texto sin formato1"/>
    <w:basedOn w:val="Normal"/>
    <w:rPr>
      <w:rFonts w:ascii="Courier New" w:hAnsi="Courier New" w:cs="Courier New"/>
      <w:sz w:val="20"/>
      <w:szCs w:val="20"/>
    </w:rPr>
  </w:style>
  <w:style w:type="paragraph" w:styleId="Encabezado">
    <w:name w:val="header"/>
    <w:basedOn w:val="Normal"/>
    <w:pPr>
      <w:suppressLineNumbers/>
      <w:tabs>
        <w:tab w:val="center" w:pos="4320"/>
        <w:tab w:val="right" w:pos="8640"/>
      </w:tabs>
    </w:pPr>
  </w:style>
  <w:style w:type="paragraph" w:styleId="Piedepgina">
    <w:name w:val="footer"/>
    <w:basedOn w:val="Normal"/>
    <w:pPr>
      <w:suppressLineNumbers/>
      <w:tabs>
        <w:tab w:val="center" w:pos="4320"/>
        <w:tab w:val="right" w:pos="8640"/>
      </w:tabs>
    </w:pPr>
  </w:style>
  <w:style w:type="paragraph" w:customStyle="1" w:styleId="Descripcin1">
    <w:name w:val="Descripción1"/>
    <w:basedOn w:val="Normal"/>
    <w:pPr>
      <w:spacing w:before="120" w:after="120"/>
    </w:pPr>
    <w:rPr>
      <w:b/>
      <w:bCs/>
      <w:sz w:val="20"/>
      <w:szCs w:val="20"/>
    </w:rPr>
  </w:style>
  <w:style w:type="paragraph" w:customStyle="1" w:styleId="Textodeglobo1">
    <w:name w:val="Texto de globo1"/>
    <w:basedOn w:val="Normal"/>
    <w:rPr>
      <w:rFonts w:ascii="Tahoma" w:hAnsi="Tahoma" w:cs="Tahoma"/>
      <w:sz w:val="16"/>
      <w:szCs w:val="16"/>
    </w:rPr>
  </w:style>
  <w:style w:type="paragraph" w:styleId="Puesto">
    <w:name w:val="Title"/>
    <w:basedOn w:val="Ttulo5"/>
    <w:next w:val="Subttulo"/>
    <w:qFormat/>
    <w:pPr>
      <w:numPr>
        <w:numId w:val="0"/>
      </w:numPr>
      <w:jc w:val="center"/>
      <w:outlineLvl w:val="9"/>
    </w:pPr>
    <w:rPr>
      <w:rFonts w:ascii="Times New Roman" w:hAnsi="Times New Roman"/>
      <w:sz w:val="24"/>
      <w:szCs w:val="36"/>
    </w:rPr>
  </w:style>
  <w:style w:type="paragraph" w:styleId="Subttulo">
    <w:name w:val="Subtitle"/>
    <w:basedOn w:val="Heading"/>
    <w:next w:val="Textoindependiente"/>
    <w:qFormat/>
    <w:pPr>
      <w:jc w:val="center"/>
    </w:pPr>
    <w:rPr>
      <w:i/>
      <w:iCs/>
    </w:rPr>
  </w:style>
  <w:style w:type="paragraph" w:customStyle="1" w:styleId="Prrafodelista1">
    <w:name w:val="Párrafo de lista1"/>
    <w:basedOn w:val="Normal"/>
    <w:pPr>
      <w:ind w:left="708"/>
    </w:pPr>
  </w:style>
  <w:style w:type="paragraph" w:customStyle="1" w:styleId="Authors">
    <w:name w:val="Authors"/>
    <w:basedOn w:val="Normal"/>
    <w:pPr>
      <w:jc w:val="center"/>
    </w:pPr>
  </w:style>
  <w:style w:type="paragraph" w:customStyle="1" w:styleId="Keywords">
    <w:name w:val="Keywords"/>
    <w:basedOn w:val="Normal"/>
    <w:rPr>
      <w:i/>
      <w:lang w:eastAsia="ja-JP"/>
    </w:rPr>
  </w:style>
  <w:style w:type="paragraph" w:customStyle="1" w:styleId="References">
    <w:name w:val="References"/>
    <w:basedOn w:val="Normal"/>
    <w:pPr>
      <w:ind w:left="426" w:hanging="426"/>
    </w:pPr>
  </w:style>
  <w:style w:type="paragraph" w:styleId="Textodeglobo">
    <w:name w:val="Balloon Text"/>
    <w:basedOn w:val="Normal"/>
    <w:link w:val="TextodegloboCar"/>
    <w:uiPriority w:val="99"/>
    <w:semiHidden/>
    <w:unhideWhenUsed/>
    <w:rsid w:val="00865959"/>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959"/>
    <w:rPr>
      <w:rFonts w:ascii="Tahoma" w:eastAsia="MS Mincho" w:hAnsi="Tahoma" w:cs="Tahoma"/>
      <w:kern w:val="1"/>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2DSPM_Template.docx</Template>
  <TotalTime>1</TotalTime>
  <Pages>1</Pages>
  <Words>165</Words>
  <Characters>908</Characters>
  <Application>Microsoft Office Word</Application>
  <DocSecurity>0</DocSecurity>
  <Lines>7</Lines>
  <Paragraphs>2</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vt:lpstr>
      <vt:lpstr>%</vt:lpstr>
    </vt:vector>
  </TitlesOfParts>
  <Company>TU Chemnitz</Company>
  <LinksUpToDate>false</LinksUpToDate>
  <CharactersWithSpaces>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Admin1</dc:creator>
  <cp:lastModifiedBy>Usuario</cp:lastModifiedBy>
  <cp:revision>2</cp:revision>
  <cp:lastPrinted>2013-01-11T09:21:00Z</cp:lastPrinted>
  <dcterms:created xsi:type="dcterms:W3CDTF">2017-12-19T15:55:00Z</dcterms:created>
  <dcterms:modified xsi:type="dcterms:W3CDTF">2017-12-19T15:55:00Z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RMIT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